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14BCA">
      <w:pPr>
        <w:jc w:val="center"/>
        <w:rPr>
          <w:rFonts w:hint="eastAsia"/>
          <w:b/>
          <w:bCs/>
          <w:sz w:val="32"/>
          <w:szCs w:val="40"/>
          <w:lang w:val="zh-CN" w:eastAsia="zh-CN"/>
        </w:rPr>
      </w:pPr>
      <w:r>
        <w:rPr>
          <w:rFonts w:hint="eastAsia"/>
          <w:b/>
          <w:bCs/>
          <w:sz w:val="32"/>
          <w:szCs w:val="40"/>
          <w:lang w:val="zh-CN" w:eastAsia="zh-CN"/>
        </w:rPr>
        <w:t>蓬莱区新港街道拟出让地块文勘项目未</w:t>
      </w:r>
      <w:r>
        <w:rPr>
          <w:rFonts w:hint="eastAsia"/>
          <w:b/>
          <w:bCs/>
          <w:sz w:val="32"/>
          <w:szCs w:val="40"/>
          <w:lang w:val="en-US" w:eastAsia="zh-CN"/>
        </w:rPr>
        <w:t>成交</w:t>
      </w:r>
      <w:r>
        <w:rPr>
          <w:rFonts w:hint="eastAsia"/>
          <w:b/>
          <w:bCs/>
          <w:sz w:val="32"/>
          <w:szCs w:val="40"/>
          <w:lang w:val="zh-CN" w:eastAsia="zh-CN"/>
        </w:rPr>
        <w:t>供应商的未</w:t>
      </w:r>
      <w:r>
        <w:rPr>
          <w:rFonts w:hint="eastAsia"/>
          <w:b/>
          <w:bCs/>
          <w:sz w:val="32"/>
          <w:szCs w:val="40"/>
          <w:lang w:val="en-US" w:eastAsia="zh-CN"/>
        </w:rPr>
        <w:t>成交</w:t>
      </w:r>
      <w:r>
        <w:rPr>
          <w:rFonts w:hint="eastAsia"/>
          <w:b/>
          <w:bCs/>
          <w:sz w:val="32"/>
          <w:szCs w:val="40"/>
          <w:lang w:val="zh-CN" w:eastAsia="zh-CN"/>
        </w:rPr>
        <w:t>原因</w:t>
      </w:r>
    </w:p>
    <w:p w14:paraId="56734729">
      <w:pPr>
        <w:pStyle w:val="3"/>
        <w:numPr>
          <w:ilvl w:val="0"/>
          <w:numId w:val="1"/>
        </w:numPr>
        <w:spacing w:line="360" w:lineRule="auto"/>
        <w:rPr>
          <w:rFonts w:hint="eastAsia"/>
          <w:szCs w:val="24"/>
          <w:lang w:val="zh-CN"/>
        </w:rPr>
      </w:pPr>
      <w:r>
        <w:rPr>
          <w:rFonts w:hint="eastAsia"/>
          <w:bCs/>
          <w:szCs w:val="24"/>
        </w:rPr>
        <w:t>项</w:t>
      </w:r>
      <w:r>
        <w:rPr>
          <w:rFonts w:hint="eastAsia"/>
          <w:szCs w:val="24"/>
        </w:rPr>
        <w:t>目名称：</w:t>
      </w:r>
      <w:r>
        <w:rPr>
          <w:rFonts w:hint="eastAsia"/>
          <w:szCs w:val="24"/>
          <w:lang w:val="zh-CN"/>
        </w:rPr>
        <w:t>蓬莱区新港街道拟出让地块文勘项目</w:t>
      </w:r>
    </w:p>
    <w:p w14:paraId="5A4C4937">
      <w:pPr>
        <w:pStyle w:val="3"/>
        <w:numPr>
          <w:ilvl w:val="0"/>
          <w:numId w:val="1"/>
        </w:numPr>
        <w:spacing w:line="360" w:lineRule="auto"/>
        <w:ind w:left="0" w:leftChars="0" w:firstLine="0" w:firstLineChars="0"/>
        <w:rPr>
          <w:rFonts w:hint="eastAsia"/>
          <w:bCs/>
          <w:szCs w:val="24"/>
          <w:lang w:val="zh-CN"/>
        </w:rPr>
      </w:pPr>
      <w:r>
        <w:rPr>
          <w:rFonts w:hint="eastAsia"/>
          <w:bCs/>
          <w:szCs w:val="24"/>
        </w:rPr>
        <w:t>采 购 人：</w:t>
      </w:r>
      <w:r>
        <w:rPr>
          <w:rFonts w:hint="eastAsia"/>
          <w:bCs/>
          <w:szCs w:val="24"/>
          <w:lang w:val="zh-CN"/>
        </w:rPr>
        <w:t>烟台市蓬莱区人民政府新港街道办事处</w:t>
      </w:r>
    </w:p>
    <w:p w14:paraId="6B759563">
      <w:pPr>
        <w:pStyle w:val="3"/>
        <w:numPr>
          <w:ilvl w:val="0"/>
          <w:numId w:val="0"/>
        </w:numPr>
        <w:spacing w:line="360" w:lineRule="auto"/>
        <w:ind w:leftChars="0"/>
        <w:rPr>
          <w:rFonts w:hint="eastAsia"/>
          <w:bCs/>
          <w:szCs w:val="24"/>
        </w:rPr>
      </w:pPr>
      <w:r>
        <w:rPr>
          <w:rFonts w:hint="eastAsia"/>
          <w:bCs/>
          <w:szCs w:val="24"/>
        </w:rPr>
        <w:t>3、招标代理机构：法正项目管理集团有限公司</w:t>
      </w:r>
    </w:p>
    <w:p w14:paraId="3323A3B1">
      <w:pPr>
        <w:pStyle w:val="3"/>
        <w:spacing w:line="360" w:lineRule="auto"/>
        <w:rPr>
          <w:rFonts w:hint="eastAsia" w:eastAsiaTheme="minorEastAsia"/>
          <w:bCs/>
          <w:szCs w:val="24"/>
          <w:lang w:eastAsia="zh-CN"/>
        </w:rPr>
      </w:pPr>
      <w:r>
        <w:rPr>
          <w:rFonts w:hint="eastAsia"/>
          <w:bCs/>
          <w:szCs w:val="24"/>
        </w:rPr>
        <w:t>4、采购方式：竞争性</w:t>
      </w:r>
      <w:r>
        <w:rPr>
          <w:rFonts w:hint="eastAsia"/>
          <w:bCs/>
          <w:szCs w:val="24"/>
          <w:lang w:val="en-US" w:eastAsia="zh-CN"/>
        </w:rPr>
        <w:t>谈判</w:t>
      </w:r>
    </w:p>
    <w:p w14:paraId="74EA95AE">
      <w:pPr>
        <w:pStyle w:val="3"/>
        <w:spacing w:line="360" w:lineRule="auto"/>
        <w:rPr>
          <w:rFonts w:hint="eastAsia"/>
          <w:bCs/>
          <w:szCs w:val="24"/>
          <w:lang w:val="zh-CN"/>
        </w:rPr>
      </w:pPr>
      <w:r>
        <w:rPr>
          <w:rFonts w:hint="eastAsia"/>
          <w:bCs/>
          <w:szCs w:val="24"/>
        </w:rPr>
        <w:t>5、项目编号：</w:t>
      </w:r>
      <w:r>
        <w:rPr>
          <w:rFonts w:hint="eastAsia"/>
          <w:bCs/>
          <w:szCs w:val="24"/>
          <w:lang w:val="zh-CN"/>
        </w:rPr>
        <w:t>SDGP370614000202502000151</w:t>
      </w:r>
    </w:p>
    <w:p w14:paraId="3C05D052">
      <w:pPr>
        <w:pStyle w:val="3"/>
        <w:spacing w:line="360" w:lineRule="auto"/>
        <w:rPr>
          <w:rFonts w:hint="eastAsia"/>
          <w:bCs/>
          <w:szCs w:val="24"/>
          <w:lang w:val="zh-CN"/>
        </w:rPr>
      </w:pPr>
      <w:r>
        <w:rPr>
          <w:rFonts w:hint="eastAsia"/>
          <w:bCs/>
          <w:szCs w:val="24"/>
        </w:rPr>
        <w:t>6、磋商内容：</w:t>
      </w:r>
      <w:r>
        <w:rPr>
          <w:rFonts w:hint="eastAsia"/>
          <w:bCs/>
          <w:szCs w:val="24"/>
          <w:lang w:val="zh-CN"/>
        </w:rPr>
        <w:t>蓬莱区新港街道拟出让地块文勘项目</w:t>
      </w:r>
    </w:p>
    <w:p w14:paraId="58FA0A11">
      <w:pPr>
        <w:pStyle w:val="3"/>
        <w:spacing w:line="360" w:lineRule="auto"/>
        <w:rPr>
          <w:rFonts w:hint="default"/>
          <w:szCs w:val="24"/>
          <w:lang w:val="en-US" w:eastAsia="zh-CN"/>
        </w:rPr>
      </w:pPr>
      <w:r>
        <w:rPr>
          <w:rFonts w:hint="eastAsia"/>
          <w:szCs w:val="24"/>
          <w:lang w:val="en-US" w:eastAsia="zh-CN"/>
        </w:rPr>
        <w:t>7、原因：按照谈判文件规定的根据质量和服务均能满足竞争性谈判文件实质性响应要求且最后报价最低的原则确定成交供应商。山东省水下考古研究中心、荆州博物馆最终报价偏高。</w:t>
      </w:r>
    </w:p>
    <w:tbl>
      <w:tblPr>
        <w:tblStyle w:val="4"/>
        <w:tblW w:w="9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7"/>
        <w:gridCol w:w="3657"/>
        <w:gridCol w:w="2850"/>
        <w:gridCol w:w="2674"/>
      </w:tblGrid>
      <w:tr w14:paraId="5A818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49" w:hRule="atLeast"/>
          <w:jc w:val="center"/>
        </w:trPr>
        <w:tc>
          <w:tcPr>
            <w:tcW w:w="517" w:type="dxa"/>
            <w:tcBorders>
              <w:right w:val="single" w:color="auto" w:sz="4" w:space="0"/>
            </w:tcBorders>
            <w:noWrap w:val="0"/>
            <w:vAlign w:val="center"/>
          </w:tcPr>
          <w:p w14:paraId="05A01EA6">
            <w:pPr>
              <w:pStyle w:val="3"/>
              <w:spacing w:line="360" w:lineRule="auto"/>
              <w:jc w:val="center"/>
              <w:rPr>
                <w:rFonts w:hint="eastAsia"/>
                <w:bCs/>
                <w:szCs w:val="24"/>
              </w:rPr>
            </w:pPr>
            <w:r>
              <w:rPr>
                <w:rFonts w:hint="eastAsia"/>
                <w:bCs/>
                <w:szCs w:val="24"/>
              </w:rPr>
              <w:t>序号</w:t>
            </w:r>
          </w:p>
        </w:tc>
        <w:tc>
          <w:tcPr>
            <w:tcW w:w="3657" w:type="dxa"/>
            <w:tcBorders>
              <w:left w:val="single" w:color="auto" w:sz="4" w:space="0"/>
              <w:right w:val="single" w:color="auto" w:sz="4" w:space="0"/>
            </w:tcBorders>
            <w:noWrap w:val="0"/>
            <w:vAlign w:val="center"/>
          </w:tcPr>
          <w:p w14:paraId="5F77AA30">
            <w:pPr>
              <w:pStyle w:val="3"/>
              <w:spacing w:line="360" w:lineRule="auto"/>
              <w:ind w:firstLine="360" w:firstLineChars="150"/>
              <w:jc w:val="center"/>
              <w:rPr>
                <w:rFonts w:hint="eastAsia" w:eastAsia="宋体"/>
                <w:bCs/>
                <w:szCs w:val="24"/>
                <w:lang w:eastAsia="zh-CN"/>
              </w:rPr>
            </w:pPr>
            <w:r>
              <w:rPr>
                <w:rFonts w:hint="eastAsia"/>
                <w:bCs/>
                <w:szCs w:val="24"/>
              </w:rPr>
              <w:t>单位名称</w:t>
            </w:r>
          </w:p>
        </w:tc>
        <w:tc>
          <w:tcPr>
            <w:tcW w:w="2850" w:type="dxa"/>
            <w:noWrap w:val="0"/>
            <w:vAlign w:val="center"/>
          </w:tcPr>
          <w:p w14:paraId="65AAC732">
            <w:pPr>
              <w:pStyle w:val="3"/>
              <w:spacing w:line="360" w:lineRule="auto"/>
              <w:jc w:val="center"/>
              <w:rPr>
                <w:rFonts w:hint="eastAsia"/>
                <w:bCs/>
                <w:szCs w:val="24"/>
              </w:rPr>
            </w:pPr>
            <w:r>
              <w:rPr>
                <w:rFonts w:hint="eastAsia"/>
                <w:bCs/>
                <w:szCs w:val="24"/>
              </w:rPr>
              <w:t>第一轮报价（元）</w:t>
            </w:r>
          </w:p>
        </w:tc>
        <w:tc>
          <w:tcPr>
            <w:tcW w:w="2674" w:type="dxa"/>
            <w:noWrap w:val="0"/>
            <w:vAlign w:val="center"/>
          </w:tcPr>
          <w:p w14:paraId="103FDD8A">
            <w:pPr>
              <w:pStyle w:val="3"/>
              <w:spacing w:line="360" w:lineRule="auto"/>
              <w:jc w:val="center"/>
              <w:rPr>
                <w:rFonts w:hint="eastAsia" w:eastAsia="宋体"/>
                <w:bCs/>
                <w:szCs w:val="24"/>
                <w:lang w:val="en-US" w:eastAsia="zh-CN"/>
              </w:rPr>
            </w:pPr>
            <w:r>
              <w:rPr>
                <w:rFonts w:hint="eastAsia"/>
                <w:bCs/>
                <w:szCs w:val="24"/>
                <w:lang w:val="en-US" w:eastAsia="zh-CN"/>
              </w:rPr>
              <w:t>最终报价（元）</w:t>
            </w:r>
          </w:p>
        </w:tc>
      </w:tr>
      <w:tr w14:paraId="67BF04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9" w:hRule="atLeast"/>
          <w:jc w:val="center"/>
        </w:trPr>
        <w:tc>
          <w:tcPr>
            <w:tcW w:w="517" w:type="dxa"/>
            <w:tcBorders>
              <w:right w:val="single" w:color="auto" w:sz="4" w:space="0"/>
            </w:tcBorders>
            <w:noWrap w:val="0"/>
            <w:vAlign w:val="center"/>
          </w:tcPr>
          <w:p w14:paraId="7EB6DDE6">
            <w:pPr>
              <w:spacing w:line="360" w:lineRule="auto"/>
              <w:jc w:val="center"/>
              <w:rPr>
                <w:rFonts w:hint="eastAsia" w:ascii="宋体" w:hAnsi="Courier New" w:eastAsia="宋体" w:cs="Times New Roman"/>
                <w:bCs/>
                <w:kern w:val="2"/>
                <w:sz w:val="24"/>
                <w:szCs w:val="24"/>
                <w:lang w:val="en-US" w:eastAsia="zh-CN" w:bidi="ar-SA"/>
              </w:rPr>
            </w:pPr>
            <w:r>
              <w:rPr>
                <w:rFonts w:hint="eastAsia" w:ascii="宋体" w:hAnsi="Courier New" w:eastAsia="宋体" w:cs="Times New Roman"/>
                <w:bCs/>
                <w:kern w:val="2"/>
                <w:sz w:val="24"/>
                <w:szCs w:val="24"/>
                <w:lang w:val="en-US" w:eastAsia="zh-CN" w:bidi="ar-SA"/>
              </w:rPr>
              <w:t>1</w:t>
            </w:r>
          </w:p>
        </w:tc>
        <w:tc>
          <w:tcPr>
            <w:tcW w:w="3657" w:type="dxa"/>
            <w:tcBorders>
              <w:left w:val="single" w:color="auto" w:sz="4" w:space="0"/>
              <w:right w:val="single" w:color="auto" w:sz="4" w:space="0"/>
            </w:tcBorders>
            <w:noWrap w:val="0"/>
            <w:vAlign w:val="center"/>
          </w:tcPr>
          <w:p w14:paraId="6816BDB5">
            <w:pPr>
              <w:spacing w:line="440" w:lineRule="exact"/>
              <w:jc w:val="center"/>
              <w:rPr>
                <w:rFonts w:hint="eastAsia"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山东省水下考古研究中心</w:t>
            </w:r>
          </w:p>
        </w:tc>
        <w:tc>
          <w:tcPr>
            <w:tcW w:w="2850" w:type="dxa"/>
            <w:noWrap w:val="0"/>
            <w:vAlign w:val="center"/>
          </w:tcPr>
          <w:p w14:paraId="64A76048">
            <w:pPr>
              <w:spacing w:line="440" w:lineRule="exact"/>
              <w:jc w:val="center"/>
              <w:rPr>
                <w:rFonts w:hint="default"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488940.55</w:t>
            </w:r>
          </w:p>
        </w:tc>
        <w:tc>
          <w:tcPr>
            <w:tcW w:w="2674" w:type="dxa"/>
            <w:noWrap w:val="0"/>
            <w:vAlign w:val="center"/>
          </w:tcPr>
          <w:p w14:paraId="2D64600B">
            <w:pPr>
              <w:spacing w:line="440" w:lineRule="exact"/>
              <w:jc w:val="center"/>
              <w:rPr>
                <w:rFonts w:hint="default"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480693.36</w:t>
            </w:r>
          </w:p>
        </w:tc>
      </w:tr>
      <w:tr w14:paraId="692C5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7" w:hRule="atLeast"/>
          <w:jc w:val="center"/>
        </w:trPr>
        <w:tc>
          <w:tcPr>
            <w:tcW w:w="517" w:type="dxa"/>
            <w:tcBorders>
              <w:right w:val="single" w:color="auto" w:sz="4" w:space="0"/>
            </w:tcBorders>
            <w:noWrap w:val="0"/>
            <w:vAlign w:val="center"/>
          </w:tcPr>
          <w:p w14:paraId="0C652ED8">
            <w:pPr>
              <w:spacing w:line="360" w:lineRule="auto"/>
              <w:jc w:val="center"/>
              <w:rPr>
                <w:rFonts w:hint="eastAsia" w:ascii="宋体" w:hAnsi="Courier New" w:eastAsia="宋体" w:cs="Times New Roman"/>
                <w:bCs/>
                <w:kern w:val="2"/>
                <w:sz w:val="24"/>
                <w:szCs w:val="24"/>
                <w:lang w:val="en-US" w:eastAsia="zh-CN" w:bidi="ar-SA"/>
              </w:rPr>
            </w:pPr>
            <w:r>
              <w:rPr>
                <w:rFonts w:hint="eastAsia" w:ascii="宋体" w:hAnsi="Courier New" w:eastAsia="宋体" w:cs="Times New Roman"/>
                <w:bCs/>
                <w:kern w:val="2"/>
                <w:sz w:val="24"/>
                <w:szCs w:val="24"/>
                <w:lang w:val="en-US" w:eastAsia="zh-CN" w:bidi="ar-SA"/>
              </w:rPr>
              <w:t>2</w:t>
            </w:r>
          </w:p>
        </w:tc>
        <w:tc>
          <w:tcPr>
            <w:tcW w:w="3657" w:type="dxa"/>
            <w:tcBorders>
              <w:left w:val="single" w:color="auto" w:sz="4" w:space="0"/>
              <w:right w:val="single" w:color="auto" w:sz="4" w:space="0"/>
            </w:tcBorders>
            <w:noWrap w:val="0"/>
            <w:vAlign w:val="center"/>
          </w:tcPr>
          <w:p w14:paraId="752724E2">
            <w:pPr>
              <w:spacing w:line="440" w:lineRule="exact"/>
              <w:jc w:val="center"/>
              <w:rPr>
                <w:rFonts w:hint="eastAsia"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荆州博物馆</w:t>
            </w:r>
          </w:p>
        </w:tc>
        <w:tc>
          <w:tcPr>
            <w:tcW w:w="2850" w:type="dxa"/>
            <w:noWrap w:val="0"/>
            <w:vAlign w:val="center"/>
          </w:tcPr>
          <w:p w14:paraId="5F19747C">
            <w:pPr>
              <w:spacing w:line="440" w:lineRule="exact"/>
              <w:jc w:val="center"/>
              <w:rPr>
                <w:rFonts w:hint="default"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4995</w:t>
            </w:r>
            <w:bookmarkStart w:id="0" w:name="_GoBack"/>
            <w:bookmarkEnd w:id="0"/>
            <w:r>
              <w:rPr>
                <w:rFonts w:hint="eastAsia" w:ascii="宋体" w:hAnsi="宋体" w:eastAsia="宋体" w:cs="宋体"/>
                <w:bCs/>
                <w:kern w:val="2"/>
                <w:sz w:val="24"/>
                <w:szCs w:val="24"/>
                <w:lang w:val="en-US" w:eastAsia="zh-CN" w:bidi="ar-SA"/>
              </w:rPr>
              <w:t>44.08</w:t>
            </w:r>
          </w:p>
        </w:tc>
        <w:tc>
          <w:tcPr>
            <w:tcW w:w="2674" w:type="dxa"/>
            <w:noWrap w:val="0"/>
            <w:vAlign w:val="center"/>
          </w:tcPr>
          <w:p w14:paraId="23CF9266">
            <w:pPr>
              <w:spacing w:line="440" w:lineRule="exact"/>
              <w:jc w:val="center"/>
              <w:rPr>
                <w:rFonts w:hint="default"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494831.40</w:t>
            </w:r>
          </w:p>
        </w:tc>
      </w:tr>
      <w:tr w14:paraId="12EA4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517" w:type="dxa"/>
            <w:tcBorders>
              <w:right w:val="single" w:color="auto" w:sz="4" w:space="0"/>
            </w:tcBorders>
            <w:noWrap w:val="0"/>
            <w:vAlign w:val="center"/>
          </w:tcPr>
          <w:p w14:paraId="3F767EDF">
            <w:pPr>
              <w:spacing w:line="360" w:lineRule="auto"/>
              <w:jc w:val="center"/>
              <w:rPr>
                <w:rFonts w:hint="eastAsia" w:ascii="宋体" w:hAnsi="Courier New" w:eastAsia="宋体" w:cs="Times New Roman"/>
                <w:bCs/>
                <w:kern w:val="2"/>
                <w:sz w:val="24"/>
                <w:szCs w:val="24"/>
                <w:lang w:val="en-US" w:eastAsia="zh-CN" w:bidi="ar-SA"/>
              </w:rPr>
            </w:pPr>
            <w:r>
              <w:rPr>
                <w:rFonts w:hint="eastAsia" w:ascii="宋体" w:hAnsi="Courier New" w:eastAsia="宋体" w:cs="Times New Roman"/>
                <w:bCs/>
                <w:kern w:val="2"/>
                <w:sz w:val="24"/>
                <w:szCs w:val="24"/>
                <w:lang w:val="en-US" w:eastAsia="zh-CN" w:bidi="ar-SA"/>
              </w:rPr>
              <w:t>3</w:t>
            </w:r>
          </w:p>
        </w:tc>
        <w:tc>
          <w:tcPr>
            <w:tcW w:w="3657" w:type="dxa"/>
            <w:tcBorders>
              <w:left w:val="single" w:color="auto" w:sz="4" w:space="0"/>
              <w:right w:val="single" w:color="auto" w:sz="4" w:space="0"/>
            </w:tcBorders>
            <w:noWrap w:val="0"/>
            <w:vAlign w:val="center"/>
          </w:tcPr>
          <w:p w14:paraId="0D80270E">
            <w:pPr>
              <w:spacing w:line="440" w:lineRule="exact"/>
              <w:jc w:val="center"/>
              <w:rPr>
                <w:rFonts w:hint="eastAsia"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烟台市博物馆</w:t>
            </w:r>
          </w:p>
        </w:tc>
        <w:tc>
          <w:tcPr>
            <w:tcW w:w="2850" w:type="dxa"/>
            <w:noWrap w:val="0"/>
            <w:vAlign w:val="center"/>
          </w:tcPr>
          <w:p w14:paraId="0520BC8F">
            <w:pPr>
              <w:spacing w:line="440" w:lineRule="exact"/>
              <w:jc w:val="center"/>
              <w:rPr>
                <w:rFonts w:hint="default"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483049.70</w:t>
            </w:r>
          </w:p>
        </w:tc>
        <w:tc>
          <w:tcPr>
            <w:tcW w:w="2674" w:type="dxa"/>
            <w:noWrap w:val="0"/>
            <w:vAlign w:val="center"/>
          </w:tcPr>
          <w:p w14:paraId="263D708E">
            <w:pPr>
              <w:spacing w:line="440" w:lineRule="exact"/>
              <w:jc w:val="center"/>
              <w:rPr>
                <w:rFonts w:hint="default" w:ascii="宋体" w:hAnsi="Courier New" w:eastAsia="宋体" w:cs="Times New Roman"/>
                <w:bCs/>
                <w:kern w:val="2"/>
                <w:sz w:val="24"/>
                <w:szCs w:val="24"/>
                <w:lang w:val="en-US" w:eastAsia="zh-CN" w:bidi="ar-SA"/>
              </w:rPr>
            </w:pPr>
            <w:r>
              <w:rPr>
                <w:rFonts w:hint="eastAsia" w:ascii="宋体" w:hAnsi="宋体" w:eastAsia="宋体" w:cs="宋体"/>
                <w:bCs/>
                <w:kern w:val="2"/>
                <w:sz w:val="24"/>
                <w:szCs w:val="24"/>
                <w:lang w:val="en-US" w:eastAsia="zh-CN" w:bidi="ar-SA"/>
              </w:rPr>
              <w:t>471208.00</w:t>
            </w:r>
          </w:p>
        </w:tc>
      </w:tr>
    </w:tbl>
    <w:p w14:paraId="5F5E3470">
      <w:pPr>
        <w:pStyle w:val="3"/>
        <w:spacing w:line="360" w:lineRule="auto"/>
        <w:rPr>
          <w:rFonts w:hint="eastAsia"/>
          <w:szCs w:val="24"/>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41BE0D"/>
    <w:multiLevelType w:val="singleLevel"/>
    <w:tmpl w:val="3541BE0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ZWQxYmRlZTVjNGFhNmNiZjRjOGIwZWJkYWJkYjEifQ=="/>
  </w:docVars>
  <w:rsids>
    <w:rsidRoot w:val="00000000"/>
    <w:rsid w:val="00C03293"/>
    <w:rsid w:val="04AC1AAD"/>
    <w:rsid w:val="092B3F3A"/>
    <w:rsid w:val="16950857"/>
    <w:rsid w:val="172D27D9"/>
    <w:rsid w:val="1CCA3A08"/>
    <w:rsid w:val="2B350F26"/>
    <w:rsid w:val="2D6A0DF7"/>
    <w:rsid w:val="2F052843"/>
    <w:rsid w:val="46B502C1"/>
    <w:rsid w:val="4B1530DD"/>
    <w:rsid w:val="508476DE"/>
    <w:rsid w:val="547A2418"/>
    <w:rsid w:val="564601D0"/>
    <w:rsid w:val="6221480F"/>
    <w:rsid w:val="6B4115BC"/>
    <w:rsid w:val="706D1AC3"/>
    <w:rsid w:val="71FD3A24"/>
    <w:rsid w:val="72C058F8"/>
    <w:rsid w:val="735B1443"/>
    <w:rsid w:val="735D4AA5"/>
    <w:rsid w:val="795B1D53"/>
    <w:rsid w:val="799B1B40"/>
    <w:rsid w:val="7B452228"/>
    <w:rsid w:val="7DCD2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center"/>
    </w:pPr>
    <w:rPr>
      <w:b/>
      <w:bCs/>
      <w:sz w:val="32"/>
    </w:rPr>
  </w:style>
  <w:style w:type="paragraph" w:styleId="3">
    <w:name w:val="Plain Text"/>
    <w:basedOn w:val="1"/>
    <w:qFormat/>
    <w:uiPriority w:val="0"/>
    <w:rPr>
      <w:rFonts w:ascii="宋体" w:hAnsi="Courier New"/>
      <w:sz w:val="24"/>
      <w:szCs w:val="20"/>
    </w:rPr>
  </w:style>
  <w:style w:type="paragraph" w:customStyle="1" w:styleId="6">
    <w:name w:val="正文格式"/>
    <w:basedOn w:val="1"/>
    <w:qFormat/>
    <w:uiPriority w:val="0"/>
    <w:pPr>
      <w:widowControl/>
      <w:adjustRightInd w:val="0"/>
      <w:snapToGrid w:val="0"/>
      <w:spacing w:before="78" w:beforeLines="25" w:line="360" w:lineRule="auto"/>
      <w:ind w:left="178" w:right="44" w:rightChars="21" w:hanging="178" w:hangingChars="85"/>
      <w:jc w:val="left"/>
      <w:textAlignment w:val="baseline"/>
    </w:pPr>
    <w:rPr>
      <w:rFonts w:ascii="宋体" w:hAnsi="宋体"/>
      <w:bCs/>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267</Words>
  <Characters>339</Characters>
  <Lines>0</Lines>
  <Paragraphs>0</Paragraphs>
  <TotalTime>2</TotalTime>
  <ScaleCrop>false</ScaleCrop>
  <LinksUpToDate>false</LinksUpToDate>
  <CharactersWithSpaces>341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2021-07-20T00:33:00Z</dcterms:created>
  <dc:creator>ytggzy</dc:creator>
  <cp:lastModifiedBy>刘治林</cp:lastModifiedBy>
  <dcterms:modified xsi:type="dcterms:W3CDTF">2025-11-05T08:28:38Z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B8021BBDABAD47D48E89F4F80DDB8CDF_12</vt:lpwstr>
  </property>
  <property fmtid="{D5CDD505-2E9C-101B-9397-08002B2CF9AE}" pid="4" name="KSOTemplateDocerSaveRecord">
    <vt:lpwstr>eyJoZGlkIjoiOTYzNDAxNTA1ZmNkN2FkYWY5MDRkOGFmYTJjODAyNTEiLCJ1c2VySWQiOiIxNjU4MDU5MzA1In0=</vt:lpwstr>
  </property>
</Properties>
</file>